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8" w:rsidRPr="00747B58" w:rsidRDefault="00747B58" w:rsidP="00747B58">
      <w:pPr>
        <w:pStyle w:val="Heading5"/>
        <w:shd w:val="clear" w:color="auto" w:fill="FFFFFF"/>
        <w:spacing w:before="158" w:after="158"/>
        <w:jc w:val="center"/>
        <w:rPr>
          <w:rFonts w:ascii="Georgia" w:hAnsi="Georgia"/>
          <w:bCs/>
          <w:color w:val="FF0000"/>
          <w:sz w:val="50"/>
          <w:szCs w:val="50"/>
        </w:rPr>
      </w:pPr>
      <w:r w:rsidRPr="00747B58">
        <w:rPr>
          <w:rStyle w:val="Strong"/>
          <w:rFonts w:ascii="Arial" w:hAnsi="Arial" w:cs="Arial"/>
          <w:color w:val="FF0000"/>
          <w:sz w:val="21"/>
          <w:szCs w:val="21"/>
          <w:shd w:val="clear" w:color="auto" w:fill="FFFFFF"/>
        </w:rPr>
        <w:t>Create </w:t>
      </w:r>
      <w:r w:rsidRPr="00747B58">
        <w:rPr>
          <w:rFonts w:ascii="Arial" w:hAnsi="Arial" w:cs="Arial"/>
          <w:color w:val="FF0000"/>
          <w:sz w:val="21"/>
          <w:szCs w:val="21"/>
          <w:shd w:val="clear" w:color="auto" w:fill="FFFFFF"/>
        </w:rPr>
        <w:t>a 10- to 12-slide presentation that addresses each question within the Comparative Analysis Case, pp. 824-825.</w:t>
      </w:r>
    </w:p>
    <w:p w:rsidR="00747B58" w:rsidRDefault="00747B58" w:rsidP="00747B58">
      <w:pPr>
        <w:pStyle w:val="Heading5"/>
        <w:shd w:val="clear" w:color="auto" w:fill="FFFFFF"/>
        <w:spacing w:before="158" w:after="158"/>
        <w:rPr>
          <w:rFonts w:ascii="Georgia" w:hAnsi="Georgia"/>
          <w:b/>
          <w:bCs/>
          <w:color w:val="989898"/>
          <w:sz w:val="50"/>
          <w:szCs w:val="50"/>
        </w:rPr>
      </w:pPr>
    </w:p>
    <w:p w:rsidR="00747B58" w:rsidRDefault="00747B58" w:rsidP="00747B58">
      <w:pPr>
        <w:pStyle w:val="Heading5"/>
        <w:shd w:val="clear" w:color="auto" w:fill="FFFFFF"/>
        <w:spacing w:before="158" w:after="158"/>
        <w:rPr>
          <w:rFonts w:ascii="Georgia" w:hAnsi="Georgia"/>
          <w:color w:val="989898"/>
          <w:sz w:val="50"/>
          <w:szCs w:val="50"/>
        </w:rPr>
      </w:pPr>
      <w:r>
        <w:rPr>
          <w:rFonts w:ascii="Georgia" w:hAnsi="Georgia"/>
          <w:color w:val="989898"/>
          <w:sz w:val="50"/>
          <w:szCs w:val="50"/>
        </w:rPr>
        <w:t>Coca-ColaCompany and PepsiCo, Inc.</w:t>
      </w:r>
    </w:p>
    <w:p w:rsidR="00747B58" w:rsidRDefault="00747B58" w:rsidP="00747B58">
      <w:pPr>
        <w:shd w:val="clear" w:color="auto" w:fill="FFFFFF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</w:rPr>
        <w:t xml:space="preserve">The financial statements of </w:t>
      </w:r>
      <w:r>
        <w:rPr>
          <w:rFonts w:ascii="Georgia" w:hAnsi="Georgia"/>
          <w:b/>
          <w:bCs/>
        </w:rPr>
        <w:t>Coca-Cola</w:t>
      </w:r>
      <w:r>
        <w:rPr>
          <w:rFonts w:ascii="Georgia" w:hAnsi="Georgia"/>
        </w:rPr>
        <w:t xml:space="preserve"> and </w:t>
      </w:r>
      <w:r>
        <w:rPr>
          <w:rFonts w:ascii="Georgia" w:hAnsi="Georgia"/>
          <w:b/>
          <w:bCs/>
        </w:rPr>
        <w:t>PepsiCo</w:t>
      </w:r>
      <w:r>
        <w:rPr>
          <w:rFonts w:ascii="Georgia" w:hAnsi="Georgia"/>
        </w:rPr>
        <w:t xml:space="preserve">are presented in </w:t>
      </w:r>
      <w:hyperlink r:id="rId5" w:history="1">
        <w:r>
          <w:rPr>
            <w:rStyle w:val="Hyperlink"/>
            <w:rFonts w:ascii="Georgia" w:hAnsi="Georgia"/>
            <w:color w:val="F99815"/>
          </w:rPr>
          <w:t>Appendices C</w:t>
        </w:r>
      </w:hyperlink>
      <w:r>
        <w:rPr>
          <w:rFonts w:ascii="Georgia" w:hAnsi="Georgia"/>
        </w:rPr>
        <w:t xml:space="preserve"> and </w:t>
      </w:r>
      <w:hyperlink r:id="rId6" w:history="1">
        <w:r>
          <w:rPr>
            <w:rStyle w:val="Hyperlink"/>
            <w:rFonts w:ascii="Georgia" w:hAnsi="Georgia"/>
            <w:color w:val="F99815"/>
          </w:rPr>
          <w:t>D</w:t>
        </w:r>
      </w:hyperlink>
      <w:r>
        <w:rPr>
          <w:rFonts w:ascii="Georgia" w:hAnsi="Georgia"/>
        </w:rPr>
        <w:t>, respectively.</w:t>
      </w:r>
      <w:proofErr w:type="gramEnd"/>
      <w:r>
        <w:rPr>
          <w:rFonts w:ascii="Georgia" w:hAnsi="Georgia"/>
        </w:rPr>
        <w:t xml:space="preserve"> The companies' complete annual reports, including the notes to the financial statements, are available online. Stock price data can be found in the company's annual 10K, filed at the SEC.</w:t>
      </w:r>
      <w:bookmarkStart w:id="0" w:name="_GoBack"/>
      <w:bookmarkEnd w:id="0"/>
    </w:p>
    <w:p w:rsidR="00747B58" w:rsidRDefault="00747B58" w:rsidP="00747B58">
      <w:pPr>
        <w:pStyle w:val="Heading5"/>
        <w:shd w:val="clear" w:color="auto" w:fill="FFFFFF"/>
        <w:spacing w:before="158" w:after="158"/>
        <w:rPr>
          <w:rFonts w:ascii="Georgia" w:hAnsi="Georgia"/>
          <w:color w:val="989898"/>
          <w:sz w:val="50"/>
          <w:szCs w:val="50"/>
        </w:rPr>
      </w:pPr>
      <w:r>
        <w:rPr>
          <w:rFonts w:ascii="Georgia" w:hAnsi="Georgia"/>
          <w:color w:val="989898"/>
          <w:sz w:val="50"/>
          <w:szCs w:val="50"/>
        </w:rPr>
        <w:t>Instructions</w:t>
      </w:r>
    </w:p>
    <w:p w:rsidR="00747B58" w:rsidRDefault="00747B58" w:rsidP="00747B58">
      <w:pPr>
        <w:shd w:val="clear" w:color="auto" w:fill="FFFFFF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Use the companies' financial information to answer the following questions.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(a)</w:t>
      </w:r>
      <w:r>
        <w:rPr>
          <w:rFonts w:ascii="Georgia" w:hAnsi="Georgia"/>
        </w:rPr>
        <w:t>What is the par or stated value of Coca-Cola's and PepsiCo's common or capital stock?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(b)</w:t>
      </w:r>
      <w:r>
        <w:rPr>
          <w:rFonts w:ascii="Georgia" w:hAnsi="Georgia"/>
        </w:rPr>
        <w:t>What percentage of authorized shares was issued by Coca-Cola at December 31, 2014, and by PepsiCo at December 31, 2014?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(c)</w:t>
      </w:r>
      <w:r>
        <w:rPr>
          <w:rFonts w:ascii="Georgia" w:hAnsi="Georgia"/>
        </w:rPr>
        <w:t>How many shares are held as treasury stock by Coca-Cola at December 31, 2014, and by PepsiCo at December 31, 2014?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(d)</w:t>
      </w:r>
      <w:r>
        <w:rPr>
          <w:rFonts w:ascii="Georgia" w:hAnsi="Georgia"/>
        </w:rPr>
        <w:t>How many Coca-Cola common shares are outstanding at December 31, 2014? How many PepsiCo shares of capital stock are outstanding at December 31, 2014?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(e)</w:t>
      </w:r>
      <w:r>
        <w:rPr>
          <w:rFonts w:ascii="Georgia" w:hAnsi="Georgia"/>
        </w:rPr>
        <w:t>What amounts of cash dividends per share were declared by Coca-Cola and PepsiCo in 2014? What were the dollar amount effects of the cash dividends on each company's stockholders' equity?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(f)</w:t>
      </w:r>
      <w:r>
        <w:rPr>
          <w:rFonts w:ascii="Georgia" w:hAnsi="Georgia"/>
        </w:rPr>
        <w:t>What are Coca-Cola's and PepsiCo's return on common/capital stockholders' equity for 2014 and 2013? Which company gets the higher return on the equity of its shareholders?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(g)</w:t>
      </w:r>
      <w:r>
        <w:rPr>
          <w:rFonts w:ascii="Georgia" w:hAnsi="Georgia"/>
        </w:rPr>
        <w:t>What are Coca-Cola's and PepsiCo's payout ratios for 2014?</w:t>
      </w:r>
    </w:p>
    <w:p w:rsidR="00747B58" w:rsidRDefault="00747B58" w:rsidP="00747B58">
      <w:pPr>
        <w:shd w:val="clear" w:color="auto" w:fill="FFFFFF"/>
        <w:rPr>
          <w:rFonts w:ascii="Georgia" w:hAnsi="Georgia"/>
        </w:rPr>
      </w:pPr>
      <w:r>
        <w:rPr>
          <w:rFonts w:ascii="Georgia" w:hAnsi="Georgia"/>
          <w:b/>
          <w:bCs/>
        </w:rPr>
        <w:t>(h)</w:t>
      </w:r>
      <w:r>
        <w:rPr>
          <w:rFonts w:ascii="Georgia" w:hAnsi="Georgia"/>
        </w:rPr>
        <w:t>What was the market price range (high/low) for Coca-Cola's common stock and PepsiCo's capital stock during the fourth quarter of 2014? Which company's (Coca-Cola's or PepsiCo's) stock price increased more (%) during 2014?</w:t>
      </w:r>
    </w:p>
    <w:p w:rsidR="00747B58" w:rsidRDefault="00747B58" w:rsidP="00747B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948"/>
          <w:kern w:val="36"/>
          <w:sz w:val="36"/>
          <w:szCs w:val="36"/>
          <w:bdr w:val="none" w:sz="0" w:space="0" w:color="auto" w:frame="1"/>
        </w:rPr>
      </w:pPr>
    </w:p>
    <w:p w:rsidR="00747B58" w:rsidRDefault="00747B58" w:rsidP="00747B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948"/>
          <w:kern w:val="36"/>
          <w:sz w:val="36"/>
          <w:szCs w:val="36"/>
          <w:bdr w:val="none" w:sz="0" w:space="0" w:color="auto" w:frame="1"/>
        </w:rPr>
      </w:pPr>
    </w:p>
    <w:p w:rsidR="00747B58" w:rsidRDefault="00747B58" w:rsidP="00747B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948"/>
          <w:kern w:val="36"/>
          <w:sz w:val="36"/>
          <w:szCs w:val="36"/>
          <w:bdr w:val="none" w:sz="0" w:space="0" w:color="auto" w:frame="1"/>
        </w:rPr>
      </w:pPr>
    </w:p>
    <w:p w:rsidR="00747B58" w:rsidRDefault="00747B58" w:rsidP="00747B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948"/>
          <w:kern w:val="36"/>
          <w:sz w:val="36"/>
          <w:szCs w:val="36"/>
          <w:bdr w:val="none" w:sz="0" w:space="0" w:color="auto" w:frame="1"/>
        </w:rPr>
      </w:pPr>
    </w:p>
    <w:p w:rsidR="00747B58" w:rsidRDefault="00747B58" w:rsidP="00747B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948"/>
          <w:kern w:val="36"/>
          <w:sz w:val="36"/>
          <w:szCs w:val="36"/>
          <w:bdr w:val="none" w:sz="0" w:space="0" w:color="auto" w:frame="1"/>
        </w:rPr>
      </w:pPr>
    </w:p>
    <w:p w:rsidR="00747B58" w:rsidRDefault="00747B58" w:rsidP="00747B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948"/>
          <w:kern w:val="36"/>
          <w:sz w:val="36"/>
          <w:szCs w:val="36"/>
          <w:bdr w:val="none" w:sz="0" w:space="0" w:color="auto" w:frame="1"/>
        </w:rPr>
      </w:pPr>
    </w:p>
    <w:p w:rsidR="00747B58" w:rsidRPr="00747B58" w:rsidRDefault="00747B58" w:rsidP="00747B5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4176"/>
          <w:kern w:val="36"/>
          <w:sz w:val="36"/>
          <w:szCs w:val="36"/>
        </w:rPr>
      </w:pPr>
      <w:r w:rsidRPr="00747B58">
        <w:rPr>
          <w:rFonts w:ascii="Arial" w:eastAsia="Times New Roman" w:hAnsi="Arial" w:cs="Arial"/>
          <w:b/>
          <w:bCs/>
          <w:color w:val="007948"/>
          <w:kern w:val="36"/>
          <w:sz w:val="36"/>
          <w:szCs w:val="36"/>
          <w:bdr w:val="none" w:sz="0" w:space="0" w:color="auto" w:frame="1"/>
        </w:rPr>
        <w:lastRenderedPageBreak/>
        <w:t>C</w:t>
      </w:r>
      <w:r w:rsidRPr="00747B58">
        <w:rPr>
          <w:rFonts w:ascii="Arial" w:eastAsia="Times New Roman" w:hAnsi="Arial" w:cs="Arial"/>
          <w:b/>
          <w:bCs/>
          <w:color w:val="004176"/>
          <w:kern w:val="36"/>
          <w:sz w:val="36"/>
          <w:szCs w:val="36"/>
        </w:rPr>
        <w:t> </w:t>
      </w:r>
      <w:r w:rsidRPr="00747B58">
        <w:rPr>
          <w:rFonts w:ascii="Arial" w:eastAsia="Times New Roman" w:hAnsi="Arial" w:cs="Arial"/>
          <w:b/>
          <w:bCs/>
          <w:color w:val="004176"/>
          <w:kern w:val="36"/>
          <w:sz w:val="36"/>
          <w:szCs w:val="36"/>
          <w:bdr w:val="none" w:sz="0" w:space="0" w:color="auto" w:frame="1"/>
        </w:rPr>
        <w:t>Specimen Financial Statements: </w:t>
      </w:r>
      <w:r w:rsidRPr="00747B58">
        <w:rPr>
          <w:rFonts w:ascii="Arial" w:eastAsia="Times New Roman" w:hAnsi="Arial" w:cs="Arial"/>
          <w:b/>
          <w:bCs/>
          <w:color w:val="EE1C25"/>
          <w:kern w:val="36"/>
          <w:sz w:val="36"/>
          <w:szCs w:val="36"/>
          <w:bdr w:val="none" w:sz="0" w:space="0" w:color="auto" w:frame="1"/>
        </w:rPr>
        <w:t>The </w:t>
      </w:r>
      <w:r w:rsidRPr="00747B58">
        <w:rPr>
          <w:rFonts w:ascii="Arial" w:eastAsia="Times New Roman" w:hAnsi="Arial" w:cs="Arial"/>
          <w:b/>
          <w:bCs/>
          <w:color w:val="EE1C25"/>
          <w:kern w:val="36"/>
          <w:sz w:val="36"/>
          <w:szCs w:val="36"/>
          <w:bdr w:val="none" w:sz="0" w:space="0" w:color="auto" w:frame="1"/>
          <w:shd w:val="clear" w:color="auto" w:fill="FFA758"/>
        </w:rPr>
        <w:t>Coca</w:t>
      </w:r>
      <w:r w:rsidRPr="00747B58">
        <w:rPr>
          <w:rFonts w:ascii="Arial" w:eastAsia="Times New Roman" w:hAnsi="Arial" w:cs="Arial"/>
          <w:b/>
          <w:bCs/>
          <w:color w:val="EE1C25"/>
          <w:kern w:val="36"/>
          <w:sz w:val="36"/>
          <w:szCs w:val="36"/>
          <w:bdr w:val="none" w:sz="0" w:space="0" w:color="auto" w:frame="1"/>
        </w:rPr>
        <w:t>-</w:t>
      </w:r>
      <w:r w:rsidRPr="00747B58">
        <w:rPr>
          <w:rFonts w:ascii="Arial" w:eastAsia="Times New Roman" w:hAnsi="Arial" w:cs="Arial"/>
          <w:b/>
          <w:bCs/>
          <w:color w:val="EE1C25"/>
          <w:kern w:val="36"/>
          <w:sz w:val="36"/>
          <w:szCs w:val="36"/>
          <w:bdr w:val="none" w:sz="0" w:space="0" w:color="auto" w:frame="1"/>
          <w:shd w:val="clear" w:color="auto" w:fill="FFA758"/>
        </w:rPr>
        <w:t>Cola</w:t>
      </w:r>
      <w:r w:rsidRPr="00747B58">
        <w:rPr>
          <w:rFonts w:ascii="Arial" w:eastAsia="Times New Roman" w:hAnsi="Arial" w:cs="Arial"/>
          <w:b/>
          <w:bCs/>
          <w:color w:val="EE1C25"/>
          <w:kern w:val="36"/>
          <w:sz w:val="36"/>
          <w:szCs w:val="36"/>
          <w:bdr w:val="none" w:sz="0" w:space="0" w:color="auto" w:frame="1"/>
        </w:rPr>
        <w:t> Company</w:t>
      </w:r>
    </w:p>
    <w:p w:rsidR="00747B58" w:rsidRPr="00747B58" w:rsidRDefault="00747B58" w:rsidP="00747B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B58">
        <w:rPr>
          <w:rFonts w:ascii="inherit" w:eastAsia="Times New Roman" w:hAnsi="inherit" w:cs="Times New Roman"/>
          <w:b/>
          <w:bCs/>
          <w:color w:val="EE1C25"/>
          <w:sz w:val="24"/>
          <w:szCs w:val="24"/>
          <w:bdr w:val="none" w:sz="0" w:space="0" w:color="auto" w:frame="1"/>
        </w:rPr>
        <w:t>The </w:t>
      </w:r>
      <w:r w:rsidRPr="00747B58">
        <w:rPr>
          <w:rFonts w:ascii="inherit" w:eastAsia="Times New Roman" w:hAnsi="inherit" w:cs="Times New Roman"/>
          <w:b/>
          <w:bCs/>
          <w:color w:val="EE1C25"/>
          <w:sz w:val="24"/>
          <w:szCs w:val="24"/>
          <w:bdr w:val="none" w:sz="0" w:space="0" w:color="auto" w:frame="1"/>
          <w:shd w:val="clear" w:color="auto" w:fill="FFA758"/>
        </w:rPr>
        <w:t>Coca</w:t>
      </w:r>
      <w:r w:rsidRPr="00747B58">
        <w:rPr>
          <w:rFonts w:ascii="inherit" w:eastAsia="Times New Roman" w:hAnsi="inherit" w:cs="Times New Roman"/>
          <w:b/>
          <w:bCs/>
          <w:color w:val="EE1C25"/>
          <w:sz w:val="24"/>
          <w:szCs w:val="24"/>
          <w:bdr w:val="none" w:sz="0" w:space="0" w:color="auto" w:frame="1"/>
        </w:rPr>
        <w:t>-</w:t>
      </w:r>
      <w:r w:rsidRPr="00747B58">
        <w:rPr>
          <w:rFonts w:ascii="inherit" w:eastAsia="Times New Roman" w:hAnsi="inherit" w:cs="Times New Roman"/>
          <w:b/>
          <w:bCs/>
          <w:color w:val="EE1C25"/>
          <w:sz w:val="24"/>
          <w:szCs w:val="24"/>
          <w:bdr w:val="none" w:sz="0" w:space="0" w:color="auto" w:frame="1"/>
          <w:shd w:val="clear" w:color="auto" w:fill="FFA758"/>
        </w:rPr>
        <w:t>Cola</w:t>
      </w:r>
      <w:r w:rsidRPr="00747B58">
        <w:rPr>
          <w:rFonts w:ascii="inherit" w:eastAsia="Times New Roman" w:hAnsi="inherit" w:cs="Times New Roman"/>
          <w:b/>
          <w:bCs/>
          <w:color w:val="EE1C25"/>
          <w:sz w:val="24"/>
          <w:szCs w:val="24"/>
          <w:bdr w:val="none" w:sz="0" w:space="0" w:color="auto" w:frame="1"/>
        </w:rPr>
        <w:t> Company</w:t>
      </w:r>
      <w:r w:rsidRPr="00747B58">
        <w:rPr>
          <w:rFonts w:ascii="Times New Roman" w:eastAsia="Times New Roman" w:hAnsi="Times New Roman" w:cs="Times New Roman"/>
          <w:sz w:val="24"/>
          <w:szCs w:val="24"/>
        </w:rPr>
        <w:t> is the world's largest beverage company. It owns or licenses and markets more than 500 nonalcoholic beverage brands, primarily sparkling beverages, but also a variety of still beverages such as waters, enhanced waters, juices and juice drinks, ready-to-drink teas and coffees, and energy and sports drinks. Finished beverage products bearing </w:t>
      </w:r>
      <w:r w:rsidRPr="00747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A758"/>
        </w:rPr>
        <w:t>Coca</w:t>
      </w:r>
      <w:r w:rsidRPr="00747B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7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A758"/>
        </w:rPr>
        <w:t>Cola</w:t>
      </w:r>
      <w:r w:rsidRPr="00747B58">
        <w:rPr>
          <w:rFonts w:ascii="Times New Roman" w:eastAsia="Times New Roman" w:hAnsi="Times New Roman" w:cs="Times New Roman"/>
          <w:sz w:val="24"/>
          <w:szCs w:val="24"/>
        </w:rPr>
        <w:t> trademarks, sold in the United States since 1886, are now available in more than 200 countries. To access </w:t>
      </w:r>
      <w:r w:rsidRPr="00747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A758"/>
        </w:rPr>
        <w:t>Coca</w:t>
      </w:r>
      <w:r w:rsidRPr="00747B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7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A758"/>
        </w:rPr>
        <w:t>Cola</w:t>
      </w:r>
      <w:r w:rsidRPr="00747B58">
        <w:rPr>
          <w:rFonts w:ascii="Times New Roman" w:eastAsia="Times New Roman" w:hAnsi="Times New Roman" w:cs="Times New Roman"/>
          <w:sz w:val="24"/>
          <w:szCs w:val="24"/>
        </w:rPr>
        <w:t>'s complete annual report, including notes to the financial statements, follow these steps:</w:t>
      </w:r>
    </w:p>
    <w:p w:rsidR="00747B58" w:rsidRPr="00747B58" w:rsidRDefault="00747B58" w:rsidP="00747B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B58">
        <w:rPr>
          <w:rFonts w:ascii="Times New Roman" w:eastAsia="Times New Roman" w:hAnsi="Times New Roman" w:cs="Times New Roman"/>
          <w:sz w:val="24"/>
          <w:szCs w:val="24"/>
        </w:rPr>
        <w:t>Go to </w:t>
      </w:r>
      <w:hyperlink r:id="rId7" w:history="1">
        <w:r w:rsidRPr="00747B58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http://www.</w:t>
        </w:r>
        <w:r w:rsidRPr="00747B58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A758"/>
          </w:rPr>
          <w:t>coca</w:t>
        </w:r>
        <w:r w:rsidRPr="00747B58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</w:rPr>
          <w:t>-colacompany.com/investors/</w:t>
        </w:r>
      </w:hyperlink>
      <w:r w:rsidRPr="00747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B58" w:rsidRPr="00747B58" w:rsidRDefault="00747B58" w:rsidP="00747B58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B58">
        <w:rPr>
          <w:rFonts w:ascii="Times New Roman" w:eastAsia="Times New Roman" w:hAnsi="Times New Roman" w:cs="Times New Roman"/>
          <w:sz w:val="24"/>
          <w:szCs w:val="24"/>
        </w:rPr>
        <w:t>Select Financial Reports and Information and then click on 2014 Annual Report on Form 10-K.</w:t>
      </w:r>
    </w:p>
    <w:p w:rsidR="00747B58" w:rsidRPr="00747B58" w:rsidRDefault="00747B58" w:rsidP="00747B58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7B58">
        <w:rPr>
          <w:rFonts w:ascii="Times New Roman" w:eastAsia="Times New Roman" w:hAnsi="Times New Roman" w:cs="Times New Roman"/>
          <w:sz w:val="24"/>
          <w:szCs w:val="24"/>
        </w:rPr>
        <w:t>The Notes to Consolidated Financial Statements begin on page 78.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9"/>
        <w:gridCol w:w="911"/>
        <w:gridCol w:w="895"/>
        <w:gridCol w:w="895"/>
      </w:tblGrid>
      <w:tr w:rsidR="00747B58" w:rsidRPr="00747B58" w:rsidTr="00747B58">
        <w:trPr>
          <w:tblHeader/>
        </w:trPr>
        <w:tc>
          <w:tcPr>
            <w:tcW w:w="0" w:type="auto"/>
            <w:gridSpan w:val="4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COMPANY AND SUBSIDIARIES CONSOLIDATED STATEMENTS OF INCOME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Year Ended December 31,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(In millions except per share data)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NET OPERATING REVENUES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45,998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46,854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48,017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Cost of goods sold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17,889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18,421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19,053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GROSS PROFIT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28,109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28,433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28,964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Selling, general and administrative expenses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17,218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17,310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17,738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Other operating charges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1,183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OPERATING INCOME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9,708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10,228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10,779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income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594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expense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483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Equity income (loss) — net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769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Other income (loss) — net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1,263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INCOME BEFORE INCOME TAXES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9,325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11,477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11,809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2,201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2,851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2,723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CONSOLIDATED NET INCOME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7,124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8,626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9,086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Less: Net income attributable to </w:t>
            </w:r>
            <w:proofErr w:type="spellStart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noncontrolling</w:t>
            </w:r>
            <w:proofErr w:type="spellEnd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NET INCOME ATTRIBUTABLE TO SHAREOWNERS OF THE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-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COMPANY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7,098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8,584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9,019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BASIC NET INCOME PER SHARE</w:t>
            </w:r>
            <w:hyperlink r:id="rId8" w:anchor="a03-note-0001" w:history="1">
              <w:r w:rsidRPr="00747B58">
                <w:rPr>
                  <w:rFonts w:ascii="inherit" w:eastAsia="Times New Roman" w:hAnsi="inherit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1.62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DILUTED NET INCOME PER SHARE</w:t>
            </w:r>
            <w:hyperlink r:id="rId9" w:anchor="a03-note-0001" w:history="1">
              <w:r w:rsidRPr="00747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lastRenderedPageBreak/>
              <w:t>1.60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1.90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1.97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lastRenderedPageBreak/>
              <w:t>AVERAGE SHARES OUTSTANDING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4,387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4,434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4,504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Effect of dilutive securities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AVERAGE SHARES OUTSTANDING ASSUMING DILUTION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4,450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4,509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4,584</w:t>
            </w:r>
          </w:p>
        </w:tc>
      </w:tr>
    </w:tbl>
    <w:p w:rsidR="00747B58" w:rsidRPr="00747B58" w:rsidRDefault="00747B58" w:rsidP="00747B58">
      <w:pPr>
        <w:spacing w:after="0" w:line="240" w:lineRule="auto"/>
        <w:ind w:firstLine="240"/>
        <w:textAlignment w:val="baseline"/>
        <w:rPr>
          <w:rFonts w:ascii="inherit" w:eastAsia="Times New Roman" w:hAnsi="inherit" w:cs="Times New Roman"/>
        </w:rPr>
      </w:pPr>
      <w:r w:rsidRPr="00747B5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vertAlign w:val="superscript"/>
        </w:rPr>
        <w:t>1</w:t>
      </w:r>
      <w:r w:rsidRPr="00747B58">
        <w:rPr>
          <w:rFonts w:ascii="inherit" w:eastAsia="Times New Roman" w:hAnsi="inherit" w:cs="Times New Roman"/>
        </w:rPr>
        <w:t>Calculated based on net income attributable to shareowners of The </w:t>
      </w:r>
      <w:r w:rsidRPr="00747B58">
        <w:rPr>
          <w:rFonts w:ascii="inherit" w:eastAsia="Times New Roman" w:hAnsi="inherit" w:cs="Times New Roman"/>
          <w:bdr w:val="none" w:sz="0" w:space="0" w:color="auto" w:frame="1"/>
          <w:shd w:val="clear" w:color="auto" w:fill="FFA758"/>
        </w:rPr>
        <w:t>Coca</w:t>
      </w:r>
      <w:r w:rsidRPr="00747B58">
        <w:rPr>
          <w:rFonts w:ascii="inherit" w:eastAsia="Times New Roman" w:hAnsi="inherit" w:cs="Times New Roman"/>
        </w:rPr>
        <w:t>-</w:t>
      </w:r>
      <w:r w:rsidRPr="00747B58">
        <w:rPr>
          <w:rFonts w:ascii="inherit" w:eastAsia="Times New Roman" w:hAnsi="inherit" w:cs="Times New Roman"/>
          <w:bdr w:val="none" w:sz="0" w:space="0" w:color="auto" w:frame="1"/>
          <w:shd w:val="clear" w:color="auto" w:fill="FFA758"/>
        </w:rPr>
        <w:t>Cola</w:t>
      </w:r>
      <w:r w:rsidRPr="00747B58">
        <w:rPr>
          <w:rFonts w:ascii="inherit" w:eastAsia="Times New Roman" w:hAnsi="inherit" w:cs="Times New Roman"/>
        </w:rPr>
        <w:t> Company.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9"/>
        <w:gridCol w:w="828"/>
        <w:gridCol w:w="828"/>
        <w:gridCol w:w="745"/>
      </w:tblGrid>
      <w:tr w:rsidR="00747B58" w:rsidRPr="00747B58" w:rsidTr="00747B58">
        <w:trPr>
          <w:tblHeader/>
        </w:trPr>
        <w:tc>
          <w:tcPr>
            <w:tcW w:w="0" w:type="auto"/>
            <w:gridSpan w:val="4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COMPANY AND SUBSIDIARIES CONSOLIDATED STATEMENTS OF COMPREHENSIVE INCOME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Year Ended December 31,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(In millions)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CONSOLIDATED NET INCOME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7,124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8,626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9,086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Other comprehensive income: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Net foreign currency translation adjustment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2,382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(1,187)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(182)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Net gain (loss) on derivatives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357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Net unrealized gain (loss) on available-for-sale securities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(80)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Net change in pension and other benefit liabilities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1,039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1,066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(668)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TOTAL COMPREHENSIVE INCOME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4,774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8,576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8,513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Less: Comprehensive income (loss) attributable to </w:t>
            </w:r>
            <w:proofErr w:type="spellStart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noncontrolling</w:t>
            </w:r>
            <w:proofErr w:type="spellEnd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TOTAL COMPREHENSIVE INCOME ATTRIBUTABLE TO SHAREOWNERS OF THE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-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4,753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8,537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8,408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</w:tbl>
    <w:p w:rsidR="00747B58" w:rsidRPr="00747B58" w:rsidRDefault="00747B58" w:rsidP="00747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2"/>
        <w:gridCol w:w="974"/>
        <w:gridCol w:w="974"/>
      </w:tblGrid>
      <w:tr w:rsidR="00747B58" w:rsidRPr="00747B58" w:rsidTr="00747B58">
        <w:trPr>
          <w:tblHeader/>
        </w:trPr>
        <w:tc>
          <w:tcPr>
            <w:tcW w:w="0" w:type="auto"/>
            <w:gridSpan w:val="3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COMPANY AND SUBSIDIARIES CONSOLIDATED BALANCE SHEETS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31,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(In millions except par value)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ASSETS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CURRENT ASSETS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Cash and cash equivalents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8,958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10,414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Short-term investments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9,052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6,707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CASH, CASH EQUIVALENTS AND SHORT-TERM INVESTMENTS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18,010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17,121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Marketable securities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3,665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3,147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Trade accounts receivable, less allowances of $331 and $61, respectively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4,466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4,873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Inventories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3,100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3,277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Prepaid expenses and other assets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3,066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2,886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Assets held for sale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679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CURRENT ASSETS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32,986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31,304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EQUITY METHOD INVESTMENTS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9,947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10,393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OTHER INVESTMENTS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3,678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1,119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OTHER ASSETS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4,407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4,661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PROPERTY, PLANT AND EQUIPMENT — net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14,633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14,967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TRADEMARKS WITH INDEFINITE LIVES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6,533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6,744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BOTTLERS' FRANCHISE RIGHTS WITH INDEFINITE LIVES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6,689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7,415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GOODWILL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12,100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12,312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OTHER INTANGIBLE ASSETS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1,050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1,140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TOTAL ASSETS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92,023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90,055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LIABILITIES AND EQUITY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CURRENT LIABILITIES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Accounts payable and accrued expenses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9,234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9,577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Loans and notes payable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19,130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16,901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Current maturities of long-term debt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3,552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1,024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Accrued income taxes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400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Liabilities held for sale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CURRENT LIABILITIES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32,374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27,811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LONG-TERM DEBT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19,063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19,154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OTHER LIABILITIES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4,389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3,498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DEFERRED INCOME TAXES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5,636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6,152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COMPANY SHAREOWNERS' EQUITY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Common stock, $0.25 par value; Authorized — 11,200 shares;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Issued — 7,040 and 7,040 shares, respectively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1,760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1,760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Capital surplus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13,154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12,276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Reinvested earnings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63,408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61,660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Accumulated other comprehensive income (loss)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5,777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(3,432)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Treasury stock, at cost — 2,674 and 2,638 shares, respectively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42,225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(39,091)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EQUITY ATTRIBUTABLE TO SHAREOWNERS OF 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COMPANY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30,320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33,173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EQUITY ATTRIBUTABLE TO NONCONTROLLING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241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EQUITY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30,561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33,440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TOTAL LIABILITIES AND EQUITY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92,023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90,055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</w:tbl>
    <w:p w:rsidR="00747B58" w:rsidRPr="00747B58" w:rsidRDefault="00747B58" w:rsidP="00747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7"/>
        <w:gridCol w:w="961"/>
        <w:gridCol w:w="961"/>
        <w:gridCol w:w="961"/>
      </w:tblGrid>
      <w:tr w:rsidR="00747B58" w:rsidRPr="00747B58" w:rsidTr="00747B58">
        <w:trPr>
          <w:tblHeader/>
        </w:trPr>
        <w:tc>
          <w:tcPr>
            <w:tcW w:w="0" w:type="auto"/>
            <w:gridSpan w:val="4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COMPANY AND SUBSIDIARIES CONSOLIDATED STATEMENTS OF CASH FLOWS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Year Ended December 31,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(In millions)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OPERATING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Consolidated net income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7,124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8,626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9,086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 and amortization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1,976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1,977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1,982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Stock-based compensation expense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Deferred income taxes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Equity (income) loss — net of dividends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371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(201)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(426)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currency adjustments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415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(130)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(gains) losses on sales of assets — net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831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(670)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(98)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Other operating charges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761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Other items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149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Net change in operating assets and liabilities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439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(932)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(1,080)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Net cash provided by operating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10,615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10,542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10,645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INVESTING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Purchases of investments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17,800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(14,782)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(14,824)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Proceeds from disposals of investments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12,986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12,791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7,791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Acquisitions of businesses, equity method investments and nonmarketable securities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389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(353)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(1,486)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Proceeds from disposals of businesses, equity method investments and nonmarketable securities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148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Purchases of property, plant and equipment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2,406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(2,550)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(2,780)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Proceeds from disposals of property, plant and equipment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223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Other investing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268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(303)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(268)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Net cash provided by (used in) investing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7,506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(4,214)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(11,404)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FINANCING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Issuances of debt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41,674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43,425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42,791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Payments of debt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36,962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(38,714)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(38,573)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Issuances of stock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1,532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1,328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1,489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Purchases of stock for treasury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4,162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(4,832)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(4,559)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Dividends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5,350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(4,969)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(4,595)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Other financing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363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Net cash provided by (used in) financing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3,631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(3,745)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(3,347)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EFFECT OF EXCHANGE RATE CHANGES ON CASH AND CASH EQUIVALENTS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934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(611)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(255)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CASH AND CASH EQUIVALENTS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Net increase (decrease) during the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1,456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1,972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(4,361)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Balance at beginning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10,414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8,442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12,803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Balance at end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8,958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10,414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8,442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</w:tbl>
    <w:p w:rsidR="00747B58" w:rsidRPr="00747B58" w:rsidRDefault="00747B58" w:rsidP="00747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9"/>
        <w:gridCol w:w="957"/>
        <w:gridCol w:w="937"/>
        <w:gridCol w:w="937"/>
      </w:tblGrid>
      <w:tr w:rsidR="00747B58" w:rsidRPr="00747B58" w:rsidTr="00747B58">
        <w:trPr>
          <w:tblHeader/>
        </w:trPr>
        <w:tc>
          <w:tcPr>
            <w:tcW w:w="0" w:type="auto"/>
            <w:gridSpan w:val="4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COMPANY AND SUBSIDIARIES CONSOLIDATED STATEMENTS OF SHAREOWNERS' EQUITY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Year Ended December 31,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2014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(In millions except per share data)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EQUITY ATTRIBUTABLE TO SHAREOWNERS OF THE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-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COMPANY NUMBER OF COMMON SHARES OUTSTANDING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beginning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4,402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4,469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4,526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Purchases of treasury stock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(121)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(121)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Treasury stock issued to employees related to stock compensation plans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end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4,366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4,402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4,469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COMMON STOCK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1,760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1,760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1,760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CAPITAL SURPLUS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beginning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12,276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11,379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10,332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Stock issued to employees related to stock compensation plans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526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Tax benefit (charge) from stock compensation plans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169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Stock-based compensation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Other activities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end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13,154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12,276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11,379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REINVESTED EARNINGS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beginning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61,660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58,045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53,621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Net income attributable to shareowners of The 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Company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7,098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8,584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9,019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Dividends (per share — $1.22, $1.12 and $1.02 in 2014, 2013 and 2012, respectively)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5,350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(4,969)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(4,595)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end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63,408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61,660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58,045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ACCUMULATED OTHER COMPREHENSIVE INCOME (LOSS)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beginning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3,432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(3,385)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(2,774)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Net other comprehensive income (loss)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2,345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(611)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end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5,777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(3,432)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(3,385)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TREASURY STOCK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beginning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39,091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(35,009)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(31,304)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Stock issued to employees related to stock compensation plans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891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Purchases of treasury stock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4,025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(4,827)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(4,491)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Balance at end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42,225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(39,091)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(35,009)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TOTAL EQUITY ATTRIBUTABLE TO SHAREOWNERS OF THE 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COCA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-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A758"/>
              </w:rPr>
              <w:t>COLA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COMPANY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30,320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33,173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32,790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EQUITY ATTRIBUTABLE TO NONCONTROLLING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Balance at beginning of year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267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Net income attributable to </w:t>
            </w:r>
            <w:proofErr w:type="spellStart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noncontrolling</w:t>
            </w:r>
            <w:proofErr w:type="spellEnd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Net foreign currency translation adjustment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Dividends paid to </w:t>
            </w:r>
            <w:proofErr w:type="spellStart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noncontrolling</w:t>
            </w:r>
            <w:proofErr w:type="spellEnd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(25)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(58)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(48)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Acquisition of interests held by </w:t>
            </w:r>
            <w:proofErr w:type="spellStart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noncontrolling</w:t>
            </w:r>
            <w:proofErr w:type="spellEnd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owners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—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Contributions by </w:t>
            </w:r>
            <w:proofErr w:type="spellStart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noncontrolling</w:t>
            </w:r>
            <w:proofErr w:type="spellEnd"/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—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Business combinations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(22)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Deconsolidation of certain entities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—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(89)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  <w:tr w:rsidR="00747B58" w:rsidRPr="00747B58" w:rsidTr="00747B58"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TOTAL EQUITY ATTRIBUTABLE TO NONCONTROLLING INTERESTS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$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 </w:t>
            </w:r>
            <w:r w:rsidRPr="00747B5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241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6" w:space="0" w:color="393838"/>
              <w:left w:val="single" w:sz="6" w:space="0" w:color="393838"/>
              <w:bottom w:val="single" w:sz="6" w:space="0" w:color="393838"/>
              <w:right w:val="single" w:sz="6" w:space="0" w:color="393838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7B58" w:rsidRPr="00747B58" w:rsidRDefault="00747B58" w:rsidP="00747B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 w:rsidRPr="00747B58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</w:p>
        </w:tc>
      </w:tr>
    </w:tbl>
    <w:p w:rsidR="0016741D" w:rsidRDefault="0016741D"/>
    <w:sectPr w:rsidR="0016741D" w:rsidSect="0031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2ED5"/>
    <w:multiLevelType w:val="multilevel"/>
    <w:tmpl w:val="A550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B58"/>
    <w:rsid w:val="0016741D"/>
    <w:rsid w:val="003141C6"/>
    <w:rsid w:val="00747B58"/>
    <w:rsid w:val="00ED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C6"/>
  </w:style>
  <w:style w:type="paragraph" w:styleId="Heading1">
    <w:name w:val="heading 1"/>
    <w:basedOn w:val="Normal"/>
    <w:link w:val="Heading1Char"/>
    <w:uiPriority w:val="9"/>
    <w:qFormat/>
    <w:rsid w:val="00747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74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ber">
    <w:name w:val="chapternumber"/>
    <w:basedOn w:val="DefaultParagraphFont"/>
    <w:rsid w:val="00747B58"/>
  </w:style>
  <w:style w:type="character" w:customStyle="1" w:styleId="chaptertitle">
    <w:name w:val="chaptertitle"/>
    <w:basedOn w:val="DefaultParagraphFont"/>
    <w:rsid w:val="00747B58"/>
  </w:style>
  <w:style w:type="character" w:customStyle="1" w:styleId="red1">
    <w:name w:val="red1"/>
    <w:basedOn w:val="DefaultParagraphFont"/>
    <w:rsid w:val="00747B58"/>
  </w:style>
  <w:style w:type="character" w:customStyle="1" w:styleId="vst-search-term">
    <w:name w:val="vst-search-term"/>
    <w:basedOn w:val="DefaultParagraphFont"/>
    <w:rsid w:val="00747B58"/>
  </w:style>
  <w:style w:type="paragraph" w:styleId="NormalWeb">
    <w:name w:val="Normal (Web)"/>
    <w:basedOn w:val="Normal"/>
    <w:uiPriority w:val="99"/>
    <w:semiHidden/>
    <w:unhideWhenUsed/>
    <w:rsid w:val="0074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2">
    <w:name w:val="red2"/>
    <w:basedOn w:val="DefaultParagraphFont"/>
    <w:rsid w:val="00747B58"/>
  </w:style>
  <w:style w:type="character" w:styleId="Hyperlink">
    <w:name w:val="Hyperlink"/>
    <w:basedOn w:val="DefaultParagraphFont"/>
    <w:uiPriority w:val="99"/>
    <w:semiHidden/>
    <w:unhideWhenUsed/>
    <w:rsid w:val="00747B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B58"/>
    <w:rPr>
      <w:color w:val="800080"/>
      <w:u w:val="single"/>
    </w:rPr>
  </w:style>
  <w:style w:type="character" w:customStyle="1" w:styleId="center">
    <w:name w:val="center"/>
    <w:basedOn w:val="DefaultParagraphFont"/>
    <w:rsid w:val="00747B58"/>
  </w:style>
  <w:style w:type="paragraph" w:customStyle="1" w:styleId="tablefootnote">
    <w:name w:val="tablefootnote"/>
    <w:basedOn w:val="Normal"/>
    <w:rsid w:val="0074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B5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747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gsaw.vitalsource.com/books/9781119175179/epub/OEBPS/a03.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a-colacompany.com/inves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gsaw.vitalsource.com/books/9781119175179/epub/OEBPS/a04.x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igsaw.vitalsource.com/books/9781119175179/epub/OEBPS/a03.x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igsaw.vitalsource.com/books/9781119175179/epub/OEBPS/a03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AccentCare Inc.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Rajeanne Veal</dc:creator>
  <cp:lastModifiedBy>Expertsmind</cp:lastModifiedBy>
  <cp:revision>2</cp:revision>
  <dcterms:created xsi:type="dcterms:W3CDTF">2018-08-18T05:31:00Z</dcterms:created>
  <dcterms:modified xsi:type="dcterms:W3CDTF">2018-08-18T05:31:00Z</dcterms:modified>
</cp:coreProperties>
</file>